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2" w:rsidRPr="005D1CE2" w:rsidRDefault="005D1CE2" w:rsidP="005D1CE2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bookmarkStart w:id="0" w:name="_GoBack"/>
      <w:bookmarkEnd w:id="0"/>
      <w:r w:rsidRPr="005D1CE2"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 wp14:anchorId="2ACAB4E1" wp14:editId="3D89D3B6">
            <wp:extent cx="1900680" cy="409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27" cy="4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13" w:rsidRPr="00E53995" w:rsidRDefault="00D54913" w:rsidP="005D1CE2">
      <w:pPr>
        <w:tabs>
          <w:tab w:val="left" w:pos="2880"/>
        </w:tabs>
        <w:rPr>
          <w:rFonts w:asciiTheme="minorHAnsi" w:hAnsiTheme="minorHAnsi" w:cstheme="minorHAnsi"/>
          <w:b/>
          <w:sz w:val="28"/>
          <w:szCs w:val="28"/>
        </w:rPr>
      </w:pPr>
      <w:r w:rsidRPr="00E53995">
        <w:rPr>
          <w:rFonts w:asciiTheme="minorHAnsi" w:hAnsiTheme="minorHAnsi" w:cstheme="minorHAnsi"/>
          <w:b/>
          <w:sz w:val="28"/>
          <w:szCs w:val="28"/>
        </w:rPr>
        <w:t>Ashmount Primary School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</w:t>
      </w:r>
      <w:r w:rsidRPr="00E5399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54913" w:rsidRPr="00E53995" w:rsidRDefault="00D54913" w:rsidP="005D1CE2">
      <w:pPr>
        <w:rPr>
          <w:rFonts w:asciiTheme="minorHAnsi" w:hAnsiTheme="minorHAnsi" w:cstheme="minorHAnsi"/>
          <w:b/>
          <w:sz w:val="36"/>
          <w:szCs w:val="36"/>
        </w:rPr>
      </w:pPr>
      <w:r w:rsidRPr="00E53995">
        <w:rPr>
          <w:rFonts w:asciiTheme="minorHAnsi" w:hAnsiTheme="minorHAnsi" w:cstheme="minorHAnsi"/>
          <w:b/>
          <w:sz w:val="36"/>
          <w:szCs w:val="36"/>
        </w:rPr>
        <w:t>Anti-bullying policy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Children and young people at Ashmount enjoy many rights.  These include the right to be safe, enjoy and achieve and make a positive contribution to school life.  Ashmount maintains a caring approach to children and any form of bullying, </w:t>
      </w:r>
      <w:r>
        <w:rPr>
          <w:rFonts w:asciiTheme="minorHAnsi" w:hAnsiTheme="minorHAnsi" w:cstheme="minorHAnsi"/>
          <w:sz w:val="22"/>
          <w:szCs w:val="22"/>
        </w:rPr>
        <w:t xml:space="preserve">physical, verbal, </w:t>
      </w:r>
      <w:r w:rsidRPr="00E53995">
        <w:rPr>
          <w:rFonts w:asciiTheme="minorHAnsi" w:hAnsiTheme="minorHAnsi" w:cstheme="minorHAnsi"/>
          <w:sz w:val="22"/>
          <w:szCs w:val="22"/>
        </w:rPr>
        <w:t>racial, homophobic, sexist or other type of harassment will not be tolerated.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  <w:highlight w:val="yellow"/>
        </w:rPr>
        <w:t>What is bullying?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Bullying can be defined as a physical, psychological or verbal attack against an individual or group of individuals by a person or group of persons, causing physical or psychological harm to the victim.  It is usually conscious and wilful and commonly consists of repeated acts of aggression and/or manipulation.  It can take a number of forms – both physical and non-physical, either in combination or in isolation. Any bullying, whether physical or non-physical, may result in lasting psychological damage to the individual.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Bullying generally falls into one or a combination of the following categories: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Physical Bullying – Unprovoked assault on a person or group which can range from a ‘prod’ to grievous bodily harm.</w:t>
      </w: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Psychological – Reduction of a person’s self-esteem or confidence through threatening behaviour, taunting or teasing about race, gender, religion, sexual orientation, disability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3995">
        <w:rPr>
          <w:rFonts w:asciiTheme="minorHAnsi" w:hAnsiTheme="minorHAnsi" w:cstheme="minorHAnsi"/>
          <w:sz w:val="22"/>
          <w:szCs w:val="22"/>
        </w:rPr>
        <w:t xml:space="preserve"> family circumstances, appearance, or any other feature of their lives which can be used to wound or humiliate them.  </w:t>
      </w: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Social- Ostracism/rejection by peer group.</w:t>
      </w: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Verbal – The use of language in a derogatory or offensive manner, such as swearing, racist or sexist abuse, sexual innuendo, spreading rumours, etc.</w:t>
      </w: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Cyber bullying – Using mobile phones or the internet to deliberately upset someone.</w:t>
      </w:r>
    </w:p>
    <w:p w:rsidR="00D54913" w:rsidRPr="00E53995" w:rsidRDefault="00D54913" w:rsidP="00D54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Homophobic – Any hostile or offensive action against lesbians, gay males, bisexuals or trans-gender people, or those perceived to be lesbian, gay, bisexual or trans-gender.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  <w:highlight w:val="yellow"/>
        </w:rPr>
        <w:t>Objectives of this Policy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To ensure that everyone in the school community have an understanding of what bullying is and how the school will deal with incidences of bullying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To develop a listening caring ethos at Ashmount where any form of bullying is not tolerated and dealt with in the appropriate manner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To encourage discussion and not make premature assumptions and to foster a problem solving approach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The staff is made aware of the anti-bullying policy by the Senior Leadership Team and has access to where the policy is kept.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Explore issues through the curriculum by PSHE, assemblies and Anti-bullying week.</w:t>
      </w:r>
    </w:p>
    <w:p w:rsidR="00D54913" w:rsidRPr="00E53995" w:rsidRDefault="00D54913" w:rsidP="00D549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Support the bully and the victim in modifying behaviour 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  <w:highlight w:val="yellow"/>
        </w:rPr>
        <w:t>Procedures</w:t>
      </w:r>
    </w:p>
    <w:p w:rsidR="00D54913" w:rsidRPr="00E53995" w:rsidRDefault="00D54913" w:rsidP="00D5491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Children should report bullying incidents to available staff or someone who they can trust.  In cases of serious bullying, the incidents will be recorded by staff </w:t>
      </w:r>
      <w:r>
        <w:rPr>
          <w:rFonts w:asciiTheme="minorHAnsi" w:hAnsiTheme="minorHAnsi" w:cstheme="minorHAnsi"/>
          <w:sz w:val="22"/>
          <w:szCs w:val="22"/>
        </w:rPr>
        <w:t xml:space="preserve">on a behaviour log sheet </w:t>
      </w:r>
      <w:r w:rsidRPr="00E53995">
        <w:rPr>
          <w:rFonts w:asciiTheme="minorHAnsi" w:hAnsiTheme="minorHAnsi" w:cstheme="minorHAnsi"/>
          <w:sz w:val="22"/>
          <w:szCs w:val="22"/>
        </w:rPr>
        <w:t xml:space="preserve">and investigated </w:t>
      </w:r>
      <w:r>
        <w:rPr>
          <w:rFonts w:asciiTheme="minorHAnsi" w:hAnsiTheme="minorHAnsi" w:cstheme="minorHAnsi"/>
          <w:sz w:val="22"/>
          <w:szCs w:val="22"/>
        </w:rPr>
        <w:t>initially by</w:t>
      </w:r>
      <w:r w:rsidRPr="00E53995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class teacher, followed by the following individuals if an incident is not resolved team leader, inclusion leader, deputy Headteacher and ultimately the Headteacher</w:t>
      </w:r>
      <w:r w:rsidRPr="00E539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Any incident will be logged and passed immediately to the team leader who will ensure this matter has been resolved.</w:t>
      </w:r>
    </w:p>
    <w:p w:rsidR="00D54913" w:rsidRPr="00E53995" w:rsidRDefault="00D54913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Parents must report any bullying incidences using the attached form – also available in the school office.</w:t>
      </w:r>
    </w:p>
    <w:p w:rsidR="00D54913" w:rsidRPr="00E53995" w:rsidRDefault="00D54913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In serious cases parents will be informed and will be asked to come in to a meeting to discuss the problem.</w:t>
      </w:r>
    </w:p>
    <w:p w:rsidR="00D54913" w:rsidRDefault="00D54913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The bullying behaviour or threats of bullying will be investigated and the bullying </w:t>
      </w:r>
      <w:r w:rsidR="0006539D">
        <w:rPr>
          <w:rFonts w:asciiTheme="minorHAnsi" w:hAnsiTheme="minorHAnsi" w:cstheme="minorHAnsi"/>
          <w:sz w:val="22"/>
          <w:szCs w:val="22"/>
        </w:rPr>
        <w:t>addressed</w:t>
      </w:r>
      <w:r w:rsidRPr="00E53995">
        <w:rPr>
          <w:rFonts w:asciiTheme="minorHAnsi" w:hAnsiTheme="minorHAnsi" w:cstheme="minorHAnsi"/>
          <w:sz w:val="22"/>
          <w:szCs w:val="22"/>
        </w:rPr>
        <w:t>.</w:t>
      </w:r>
    </w:p>
    <w:p w:rsidR="0006539D" w:rsidRPr="00E53995" w:rsidRDefault="0006539D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Appropriate feedback will be given to the parent reporting the bullying in a timely manner.</w:t>
      </w:r>
    </w:p>
    <w:p w:rsidR="00D54913" w:rsidRPr="00E53995" w:rsidRDefault="00154374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school accepts that </w:t>
      </w:r>
      <w:r w:rsidR="0006539D">
        <w:rPr>
          <w:rFonts w:asciiTheme="minorHAnsi" w:hAnsiTheme="minorHAnsi" w:cstheme="minorHAnsi"/>
          <w:sz w:val="22"/>
          <w:szCs w:val="22"/>
        </w:rPr>
        <w:t xml:space="preserve">any child could display bullying behaviour </w:t>
      </w:r>
      <w:r>
        <w:rPr>
          <w:rFonts w:asciiTheme="minorHAnsi" w:hAnsiTheme="minorHAnsi" w:cstheme="minorHAnsi"/>
          <w:sz w:val="22"/>
          <w:szCs w:val="22"/>
        </w:rPr>
        <w:t>and as a school we have a moral imperative</w:t>
      </w:r>
      <w:r w:rsidR="0006539D">
        <w:rPr>
          <w:rFonts w:asciiTheme="minorHAnsi" w:hAnsiTheme="minorHAnsi" w:cstheme="minorHAnsi"/>
          <w:sz w:val="22"/>
          <w:szCs w:val="22"/>
        </w:rPr>
        <w:t xml:space="preserve"> to help those doing so to change their behaviour</w:t>
      </w:r>
      <w:r w:rsidR="00D54913" w:rsidRPr="00E53995">
        <w:rPr>
          <w:rFonts w:asciiTheme="minorHAnsi" w:hAnsiTheme="minorHAnsi" w:cstheme="minorHAnsi"/>
          <w:sz w:val="22"/>
          <w:szCs w:val="22"/>
        </w:rPr>
        <w:t>.</w:t>
      </w:r>
    </w:p>
    <w:p w:rsidR="00D54913" w:rsidRPr="00E53995" w:rsidRDefault="00D54913" w:rsidP="00D5491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If necessary and appropriate, external agencies will be consulted to provide support.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  <w:highlight w:val="yellow"/>
        </w:rPr>
        <w:t>Outcomes</w:t>
      </w:r>
    </w:p>
    <w:p w:rsidR="0006539D" w:rsidRDefault="0006539D" w:rsidP="00D5491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school will investigate the incident.</w:t>
      </w:r>
    </w:p>
    <w:p w:rsidR="00D54913" w:rsidRPr="00E53995" w:rsidRDefault="00D54913" w:rsidP="00D5491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The </w:t>
      </w:r>
      <w:r w:rsidR="0006539D">
        <w:rPr>
          <w:rFonts w:asciiTheme="minorHAnsi" w:hAnsiTheme="minorHAnsi" w:cstheme="minorHAnsi"/>
          <w:sz w:val="22"/>
          <w:szCs w:val="22"/>
        </w:rPr>
        <w:t>child displaying bullying behaviour</w:t>
      </w:r>
      <w:r w:rsidRPr="00E53995">
        <w:rPr>
          <w:rFonts w:asciiTheme="minorHAnsi" w:hAnsiTheme="minorHAnsi" w:cstheme="minorHAnsi"/>
          <w:sz w:val="22"/>
          <w:szCs w:val="22"/>
        </w:rPr>
        <w:t xml:space="preserve"> will be asked to genuinely apologise.  Other consequences such as (a) an apology letter or (b) a written contract may be required.</w:t>
      </w:r>
    </w:p>
    <w:p w:rsidR="00D54913" w:rsidRPr="00E53995" w:rsidRDefault="00D54913" w:rsidP="00D5491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The school will aim to sort out differences and encourage the pupils to reconcile.</w:t>
      </w:r>
    </w:p>
    <w:p w:rsidR="00D54913" w:rsidRPr="00E53995" w:rsidRDefault="00D54913" w:rsidP="00D5491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In serious cases, parents will be informed in writing and suspension or even exclusion will be considered.</w:t>
      </w:r>
    </w:p>
    <w:p w:rsidR="00D54913" w:rsidRPr="00E53995" w:rsidRDefault="00D54913" w:rsidP="00D5491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After the incident / incidents have been investigated and dealt with, each case will be monitored to ensure repeated bullyin</w:t>
      </w:r>
      <w:r w:rsidR="005D1CE2">
        <w:rPr>
          <w:rFonts w:asciiTheme="minorHAnsi" w:hAnsiTheme="minorHAnsi" w:cstheme="minorHAnsi"/>
          <w:sz w:val="22"/>
          <w:szCs w:val="22"/>
        </w:rPr>
        <w:t>g does not take place and it will be considered that the incident/incidents are closed. The school strongly believes that all children can be bullied or a bully and as such all parties once an issue has been addressed should be allowed to move on from the issue at hand.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  <w:highlight w:val="yellow"/>
        </w:rPr>
        <w:t>Prevention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We will use various methods for helping children to prevent bullying.  This will include: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Have a listening and caring ethos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Encourage discussion and don’t make premature assumptions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Adopt a problem solving approach</w:t>
      </w:r>
    </w:p>
    <w:p w:rsidR="00D54913" w:rsidRPr="00E53995" w:rsidRDefault="00154374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staff are</w:t>
      </w:r>
      <w:r w:rsidR="00D54913" w:rsidRPr="00E53995">
        <w:rPr>
          <w:rFonts w:asciiTheme="minorHAnsi" w:hAnsiTheme="minorHAnsi" w:cstheme="minorHAnsi"/>
          <w:sz w:val="22"/>
          <w:szCs w:val="22"/>
        </w:rPr>
        <w:t xml:space="preserve"> made aware of the anti-bullying policy by Senior Leadership Team and has access to where the policy is kept.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Explore issues through the curriculum by PSH</w:t>
      </w:r>
      <w:r w:rsidR="0006539D">
        <w:rPr>
          <w:rFonts w:asciiTheme="minorHAnsi" w:hAnsiTheme="minorHAnsi" w:cstheme="minorHAnsi"/>
          <w:sz w:val="22"/>
          <w:szCs w:val="22"/>
        </w:rPr>
        <w:t>C</w:t>
      </w:r>
      <w:r w:rsidRPr="00E53995">
        <w:rPr>
          <w:rFonts w:asciiTheme="minorHAnsi" w:hAnsiTheme="minorHAnsi" w:cstheme="minorHAnsi"/>
          <w:sz w:val="22"/>
          <w:szCs w:val="22"/>
        </w:rPr>
        <w:t>E, assemblies and Anti-bullying week.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 xml:space="preserve">Support the bully and the victim in modifying behaviour 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Provide information through notice boards, posters and Child line.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Provide support through playground buddies, friendship group and peer support.</w:t>
      </w:r>
    </w:p>
    <w:p w:rsidR="00D54913" w:rsidRPr="00E53995" w:rsidRDefault="00D54913" w:rsidP="00D5491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t>The anti-bullying policy works alongside the behaviour policy.  This is discussed with the children in class so they are informed of the procedures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995"/>
        <w:gridCol w:w="1995"/>
      </w:tblGrid>
      <w:tr w:rsidR="00D54913" w:rsidRPr="00E53995" w:rsidTr="007C0836">
        <w:trPr>
          <w:trHeight w:val="360"/>
        </w:trPr>
        <w:tc>
          <w:tcPr>
            <w:tcW w:w="1994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Date approved</w:t>
            </w:r>
          </w:p>
        </w:tc>
        <w:tc>
          <w:tcPr>
            <w:tcW w:w="1995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Signature of chair</w:t>
            </w:r>
          </w:p>
        </w:tc>
        <w:tc>
          <w:tcPr>
            <w:tcW w:w="1995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Next review</w:t>
            </w:r>
          </w:p>
        </w:tc>
      </w:tr>
      <w:tr w:rsidR="00D54913" w:rsidRPr="00E53995" w:rsidTr="007C0836">
        <w:trPr>
          <w:trHeight w:val="810"/>
        </w:trPr>
        <w:tc>
          <w:tcPr>
            <w:tcW w:w="1994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1348F5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2018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1348F5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2020</w:t>
            </w:r>
          </w:p>
        </w:tc>
      </w:tr>
    </w:tbl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  <w:r w:rsidRPr="00E53995">
        <w:rPr>
          <w:rFonts w:asciiTheme="minorHAnsi" w:hAnsiTheme="minorHAnsi" w:cstheme="minorHAnsi"/>
          <w:sz w:val="22"/>
          <w:szCs w:val="22"/>
        </w:rPr>
        <w:br w:type="page"/>
      </w:r>
      <w:r w:rsidRPr="00E53995">
        <w:rPr>
          <w:rFonts w:asciiTheme="minorHAnsi" w:hAnsiTheme="minorHAnsi" w:cstheme="minorHAnsi"/>
          <w:sz w:val="22"/>
          <w:szCs w:val="22"/>
        </w:rPr>
        <w:lastRenderedPageBreak/>
        <w:t>Ashmount Primary School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95C74">
        <w:rPr>
          <w:noProof/>
          <w:lang w:eastAsia="en-GB"/>
        </w:rPr>
        <w:drawing>
          <wp:inline distT="0" distB="0" distL="0" distR="0">
            <wp:extent cx="990600" cy="2571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</w:rPr>
        <w:t xml:space="preserve">REPORT ON A BULLYING INCIDENT BY PARENTS/CARERS. </w:t>
      </w: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</w:rPr>
        <w:t xml:space="preserve">PART ONE – to be completed by the person reporting the incident. 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720"/>
        <w:gridCol w:w="5148"/>
      </w:tblGrid>
      <w:tr w:rsidR="00D54913" w:rsidRPr="00E53995" w:rsidTr="007C0836">
        <w:tc>
          <w:tcPr>
            <w:tcW w:w="4320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Full name and address of the person reporting the incident 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3" w:rsidRPr="00E53995" w:rsidTr="007C0836">
        <w:tc>
          <w:tcPr>
            <w:tcW w:w="4320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Date, time and place of the breach 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3" w:rsidRPr="00E53995" w:rsidTr="007C0836">
        <w:tc>
          <w:tcPr>
            <w:tcW w:w="10188" w:type="dxa"/>
            <w:gridSpan w:val="3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Please provide a full description of the incident (specific details rather than general comments are required in order to deal with the reported incident)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Please use the other side or a separate sheet if required…</w:t>
            </w:r>
          </w:p>
        </w:tc>
      </w:tr>
      <w:tr w:rsidR="00D54913" w:rsidRPr="00E53995" w:rsidTr="007C0836">
        <w:tc>
          <w:tcPr>
            <w:tcW w:w="5040" w:type="dxa"/>
            <w:gridSpan w:val="2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D54913" w:rsidRPr="00E53995" w:rsidRDefault="00D54913" w:rsidP="00D5491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53995">
        <w:rPr>
          <w:rFonts w:asciiTheme="minorHAnsi" w:hAnsiTheme="minorHAnsi" w:cstheme="minorHAnsi"/>
          <w:b/>
          <w:sz w:val="22"/>
          <w:szCs w:val="22"/>
        </w:rPr>
        <w:t>PART TWO – To be completed by the person investigating the 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148"/>
      </w:tblGrid>
      <w:tr w:rsidR="00D54913" w:rsidRPr="00E53995" w:rsidTr="007C0836">
        <w:tc>
          <w:tcPr>
            <w:tcW w:w="5148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Names of investigator(s) 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Date the investigation took place  </w:t>
            </w:r>
          </w:p>
        </w:tc>
      </w:tr>
      <w:tr w:rsidR="00D54913" w:rsidRPr="00E53995" w:rsidTr="007C0836">
        <w:tc>
          <w:tcPr>
            <w:tcW w:w="10296" w:type="dxa"/>
            <w:gridSpan w:val="2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Main finding(s)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3" w:rsidRPr="00E53995" w:rsidTr="007C0836">
        <w:tc>
          <w:tcPr>
            <w:tcW w:w="10296" w:type="dxa"/>
            <w:gridSpan w:val="2"/>
          </w:tcPr>
          <w:p w:rsidR="00D54913" w:rsidRPr="00E53995" w:rsidRDefault="00541590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Actions taken and support for the subject</w:t>
            </w:r>
            <w:r w:rsidR="00D54913"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3" w:rsidRPr="00E53995" w:rsidTr="007C0836">
        <w:trPr>
          <w:trHeight w:val="437"/>
        </w:trPr>
        <w:tc>
          <w:tcPr>
            <w:tcW w:w="5148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148" w:type="dxa"/>
          </w:tcPr>
          <w:p w:rsidR="00D54913" w:rsidRPr="00E53995" w:rsidRDefault="00D54913" w:rsidP="007C08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5399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  <w:p w:rsidR="00D54913" w:rsidRPr="00E53995" w:rsidRDefault="00D54913" w:rsidP="007C0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913" w:rsidRPr="00E53995" w:rsidRDefault="00D54913" w:rsidP="00D54913">
      <w:pPr>
        <w:rPr>
          <w:rFonts w:asciiTheme="minorHAnsi" w:hAnsiTheme="minorHAnsi" w:cstheme="minorHAnsi"/>
          <w:sz w:val="22"/>
          <w:szCs w:val="22"/>
        </w:rPr>
      </w:pPr>
    </w:p>
    <w:p w:rsidR="00154374" w:rsidRDefault="00154374" w:rsidP="00D54913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</w:p>
    <w:p w:rsidR="00154374" w:rsidRDefault="00154374" w:rsidP="00D54913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</w:p>
    <w:p w:rsidR="00D54913" w:rsidRDefault="00D54913" w:rsidP="00D54913">
      <w:pPr>
        <w:pStyle w:val="Default"/>
        <w:rPr>
          <w:rFonts w:asciiTheme="minorHAnsi" w:hAnsiTheme="minorHAnsi" w:cstheme="minorHAnsi"/>
          <w:b/>
          <w:bCs/>
          <w:sz w:val="27"/>
          <w:szCs w:val="27"/>
        </w:rPr>
      </w:pPr>
      <w:r w:rsidRPr="00CA0CE6">
        <w:rPr>
          <w:rFonts w:asciiTheme="minorHAnsi" w:hAnsiTheme="minorHAnsi" w:cstheme="minorHAnsi"/>
          <w:b/>
          <w:bCs/>
          <w:sz w:val="27"/>
          <w:szCs w:val="27"/>
        </w:rPr>
        <w:lastRenderedPageBreak/>
        <w:t xml:space="preserve">Supporting Organisations and Guidance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Anti-Bullying Alliance: www.anti-bullyingalliance.org.uk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Beat Bullying: www.beatbullying.org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Childline: www.childline.org.uk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DfE: “Preventing and Tackling Bullying. Advice for headteachers, staff and governing bodies”, and “Supporting children and young people who are bullied: advice for schools” March 2014: https://www.gov.uk/government/publications/preventing-and-tackling-bullying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DfE: “No health without mental health”: https://www.gov.uk/government/publications/no-health-without-mental-health-a-cross-government-outcomes-strategy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Family Lives: www.familylives.org.uk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Kidscape: www.kidscape.org.uk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MindEd: www.minded.org.uk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NSPCC: www.nspcc.org.uk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PSHE Association: www.pshe-association.org.uk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Restorative Justice Council: www.restorativejustice.org.uk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The Diana Award: www.diana-award.org.uk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Victim Support: www.victimsupport.org.uk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A0CE6">
        <w:rPr>
          <w:rFonts w:asciiTheme="minorHAnsi" w:hAnsiTheme="minorHAnsi" w:cstheme="minorHAnsi"/>
          <w:sz w:val="22"/>
          <w:szCs w:val="22"/>
        </w:rPr>
        <w:t xml:space="preserve">Young Minds: www.youngminds.org.uk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 Young Carers: www.youngcarers.net </w:t>
      </w:r>
    </w:p>
    <w:p w:rsidR="00D54913" w:rsidRPr="00CA0CE6" w:rsidRDefault="00D54913" w:rsidP="00D54913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b/>
          <w:bCs/>
          <w:sz w:val="22"/>
          <w:szCs w:val="22"/>
        </w:rPr>
        <w:t xml:space="preserve">Cyberbullying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Childnet International: www.childnet.com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Digizen: www.digizen.org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 Internet Watch Foundation: www.iwf.org.uk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 Think U Know: www.thinkuknow.co.uk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 UK Safer Internet Centre: www.saferinternet.org.uk </w:t>
      </w:r>
    </w:p>
    <w:p w:rsidR="00D54913" w:rsidRPr="00CA0CE6" w:rsidRDefault="00D54913" w:rsidP="00D54913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b/>
          <w:bCs/>
          <w:sz w:val="22"/>
          <w:szCs w:val="22"/>
        </w:rPr>
        <w:t xml:space="preserve">LGBT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EACH: www.eachaction.org.uk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Pace: www.pacehealth.org.uk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1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Schools Out: www.schools-out.org.uk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Stonewall: www.stonewall.org.uk </w:t>
      </w:r>
    </w:p>
    <w:p w:rsidR="00D54913" w:rsidRPr="00CA0CE6" w:rsidRDefault="00D54913" w:rsidP="00D54913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b/>
          <w:bCs/>
          <w:sz w:val="22"/>
          <w:szCs w:val="22"/>
        </w:rPr>
        <w:t xml:space="preserve">SEND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Changing Faces: www.changingfaces.org.uk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Mencap: www.mencap.org.uk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DfE: SEND code of practice: https://www.gov.uk/government/publications/send-code-of-practice-0-to-25 </w:t>
      </w:r>
    </w:p>
    <w:p w:rsidR="00D54913" w:rsidRPr="00CA0CE6" w:rsidRDefault="00D54913" w:rsidP="00D54913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D54913" w:rsidRPr="00CA0CE6" w:rsidRDefault="00D54913" w:rsidP="00D54913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b/>
          <w:bCs/>
          <w:sz w:val="22"/>
          <w:szCs w:val="22"/>
        </w:rPr>
        <w:t xml:space="preserve">Racism and Hate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3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Anne Frank Trust: www.annefrank.org.uk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3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Kick it Out: www.kickitout.org </w:t>
      </w:r>
    </w:p>
    <w:p w:rsidR="00D54913" w:rsidRPr="00CA0CE6" w:rsidRDefault="00D54913" w:rsidP="00D54913">
      <w:pPr>
        <w:pStyle w:val="Default"/>
        <w:numPr>
          <w:ilvl w:val="0"/>
          <w:numId w:val="7"/>
        </w:numPr>
        <w:spacing w:after="73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Report it: www.report-it.org.uk </w:t>
      </w:r>
    </w:p>
    <w:p w:rsidR="00D54913" w:rsidRDefault="00D54913" w:rsidP="00D54913">
      <w:pPr>
        <w:pStyle w:val="Default"/>
        <w:numPr>
          <w:ilvl w:val="0"/>
          <w:numId w:val="7"/>
        </w:numPr>
        <w:spacing w:after="73"/>
        <w:rPr>
          <w:rFonts w:ascii="Calibri" w:hAnsi="Calibri" w:cs="Calibri"/>
          <w:sz w:val="22"/>
          <w:szCs w:val="22"/>
        </w:rPr>
      </w:pPr>
      <w:r w:rsidRPr="00CA0CE6">
        <w:rPr>
          <w:rFonts w:ascii="Calibri" w:hAnsi="Calibri" w:cs="Calibri"/>
          <w:sz w:val="22"/>
          <w:szCs w:val="22"/>
        </w:rPr>
        <w:t xml:space="preserve">Stop Hate: www.stophateuk.org </w:t>
      </w:r>
    </w:p>
    <w:p w:rsidR="00D54913" w:rsidRDefault="00D54913" w:rsidP="00D54913">
      <w:pPr>
        <w:pStyle w:val="Default"/>
        <w:numPr>
          <w:ilvl w:val="0"/>
          <w:numId w:val="7"/>
        </w:numPr>
        <w:spacing w:after="7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Show Racism the Red Card: www.srtrc.org/educational</w:t>
      </w:r>
    </w:p>
    <w:p w:rsidR="0001583D" w:rsidRDefault="0001583D"/>
    <w:sectPr w:rsidR="0001583D" w:rsidSect="00D54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668"/>
    <w:multiLevelType w:val="hybridMultilevel"/>
    <w:tmpl w:val="358CB3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F31"/>
    <w:multiLevelType w:val="hybridMultilevel"/>
    <w:tmpl w:val="2C7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36DB"/>
    <w:multiLevelType w:val="hybridMultilevel"/>
    <w:tmpl w:val="4FF85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0946"/>
    <w:multiLevelType w:val="hybridMultilevel"/>
    <w:tmpl w:val="0922B45C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09CC"/>
    <w:multiLevelType w:val="hybridMultilevel"/>
    <w:tmpl w:val="F72AC624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6E3"/>
    <w:multiLevelType w:val="hybridMultilevel"/>
    <w:tmpl w:val="E64EC7B4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3622"/>
    <w:multiLevelType w:val="hybridMultilevel"/>
    <w:tmpl w:val="F1EEC49A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17BC"/>
    <w:multiLevelType w:val="hybridMultilevel"/>
    <w:tmpl w:val="87203DAC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D737D"/>
    <w:multiLevelType w:val="hybridMultilevel"/>
    <w:tmpl w:val="A1B89E50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3"/>
    <w:rsid w:val="0001583D"/>
    <w:rsid w:val="0006539D"/>
    <w:rsid w:val="001348F5"/>
    <w:rsid w:val="00154374"/>
    <w:rsid w:val="004C7BDC"/>
    <w:rsid w:val="00541590"/>
    <w:rsid w:val="005D1CE2"/>
    <w:rsid w:val="0095330C"/>
    <w:rsid w:val="00D43143"/>
    <w:rsid w:val="00D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CAD89-1232-41F9-A2FC-D45828B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91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Slater</dc:creator>
  <cp:keywords/>
  <dc:description/>
  <cp:lastModifiedBy>Anthony Carmel</cp:lastModifiedBy>
  <cp:revision>2</cp:revision>
  <dcterms:created xsi:type="dcterms:W3CDTF">2020-08-25T16:31:00Z</dcterms:created>
  <dcterms:modified xsi:type="dcterms:W3CDTF">2020-08-25T16:31:00Z</dcterms:modified>
</cp:coreProperties>
</file>